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5" w:rsidRPr="00902C75" w:rsidRDefault="00902C75" w:rsidP="00902C75">
      <w:pPr>
        <w:tabs>
          <w:tab w:val="center" w:pos="4251"/>
        </w:tabs>
        <w:spacing w:line="360" w:lineRule="auto"/>
        <w:outlineLvl w:val="0"/>
        <w:rPr>
          <w:b/>
          <w:bCs/>
          <w:noProof w:val="0"/>
          <w:u w:val="single"/>
          <w:rtl/>
        </w:rPr>
      </w:pPr>
      <w:r w:rsidRPr="00902C75">
        <w:rPr>
          <w:rFonts w:hint="cs"/>
          <w:b/>
          <w:bCs/>
          <w:noProof w:val="0"/>
          <w:u w:val="single"/>
          <w:rtl/>
        </w:rPr>
        <w:t>שנתון תשע"ח</w:t>
      </w:r>
    </w:p>
    <w:p w:rsidR="00902C75" w:rsidRDefault="00902C75" w:rsidP="00220C05">
      <w:pPr>
        <w:tabs>
          <w:tab w:val="center" w:pos="4251"/>
        </w:tabs>
        <w:spacing w:line="360" w:lineRule="auto"/>
        <w:jc w:val="center"/>
        <w:outlineLvl w:val="0"/>
        <w:rPr>
          <w:b/>
          <w:bCs/>
          <w:noProof w:val="0"/>
          <w:rtl/>
        </w:rPr>
      </w:pPr>
    </w:p>
    <w:p w:rsidR="00220C05" w:rsidRPr="001C2506" w:rsidRDefault="00220C05" w:rsidP="00220C05">
      <w:pPr>
        <w:tabs>
          <w:tab w:val="center" w:pos="4251"/>
        </w:tabs>
        <w:spacing w:line="360" w:lineRule="auto"/>
        <w:jc w:val="center"/>
        <w:outlineLvl w:val="0"/>
        <w:rPr>
          <w:b/>
          <w:bCs/>
          <w:noProof w:val="0"/>
          <w:sz w:val="28"/>
          <w:szCs w:val="28"/>
          <w:u w:val="single"/>
          <w:rtl/>
        </w:rPr>
      </w:pPr>
      <w:r w:rsidRPr="001C2506">
        <w:rPr>
          <w:rFonts w:hint="cs"/>
          <w:b/>
          <w:bCs/>
          <w:noProof w:val="0"/>
          <w:sz w:val="28"/>
          <w:szCs w:val="28"/>
          <w:u w:val="single"/>
          <w:rtl/>
        </w:rPr>
        <w:t>לימודי הדגש במדיניות ובממשל</w:t>
      </w:r>
    </w:p>
    <w:p w:rsidR="00220C05" w:rsidRDefault="00220C05" w:rsidP="00220C05">
      <w:pPr>
        <w:tabs>
          <w:tab w:val="center" w:pos="4251"/>
        </w:tabs>
        <w:spacing w:line="360" w:lineRule="auto"/>
        <w:jc w:val="center"/>
        <w:outlineLvl w:val="0"/>
        <w:rPr>
          <w:noProof w:val="0"/>
          <w:rtl/>
        </w:rPr>
      </w:pPr>
    </w:p>
    <w:p w:rsidR="00220C05" w:rsidRPr="009540FB" w:rsidRDefault="00220C05" w:rsidP="00220C05">
      <w:pPr>
        <w:spacing w:line="360" w:lineRule="auto"/>
        <w:rPr>
          <w:rFonts w:asciiTheme="majorBidi" w:hAnsiTheme="majorBidi"/>
          <w:rtl/>
        </w:rPr>
      </w:pPr>
      <w:r w:rsidRPr="009540FB">
        <w:rPr>
          <w:rFonts w:asciiTheme="majorBidi" w:hAnsiTheme="majorBidi" w:hint="cs"/>
          <w:rtl/>
        </w:rPr>
        <w:t xml:space="preserve">לימודי ההדגש יתבססו על הקרבה המידית והקשר למוקדי הממשל וקביעת המדיניות הממלכתית בירושלים. </w:t>
      </w:r>
      <w:bookmarkStart w:id="0" w:name="_GoBack"/>
      <w:bookmarkEnd w:id="0"/>
    </w:p>
    <w:p w:rsidR="00220C05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</w:p>
    <w:p w:rsidR="00220C05" w:rsidRPr="009540FB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  <w:r w:rsidRPr="009540FB">
        <w:rPr>
          <w:rFonts w:asciiTheme="majorBidi" w:hAnsiTheme="majorBidi" w:hint="cs"/>
          <w:b/>
          <w:bCs/>
          <w:rtl/>
        </w:rPr>
        <w:t>מטרת לימודי ההדגש</w:t>
      </w: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/>
          <w:rtl/>
        </w:rPr>
      </w:pPr>
      <w:r w:rsidRPr="009540FB">
        <w:rPr>
          <w:rFonts w:asciiTheme="majorBidi" w:hAnsiTheme="majorBidi"/>
          <w:rtl/>
        </w:rPr>
        <w:t>מִמְשָׁל מתווה את המסגרת הכוללת בה מתעצבות ההחלטות הרשמיות והכוללות של חברה או מדינה. המונח ממשל כולל את המוסדות המרכזיים של החברה</w:t>
      </w:r>
      <w:r w:rsidRPr="009540FB">
        <w:rPr>
          <w:rFonts w:asciiTheme="majorBidi" w:hAnsiTheme="majorBidi" w:hint="cs"/>
          <w:rtl/>
        </w:rPr>
        <w:t>,</w:t>
      </w:r>
      <w:r w:rsidRPr="009540FB">
        <w:rPr>
          <w:rFonts w:asciiTheme="majorBidi" w:hAnsiTheme="majorBidi"/>
          <w:rtl/>
        </w:rPr>
        <w:t xml:space="preserve"> ובכללם הרשות המחוקקת, המבצעת והשופטת. כן</w:t>
      </w:r>
      <w:r w:rsidRPr="009540FB">
        <w:rPr>
          <w:rFonts w:asciiTheme="majorBidi" w:hAnsiTheme="majorBidi" w:hint="cs"/>
          <w:rtl/>
        </w:rPr>
        <w:t>,</w:t>
      </w:r>
      <w:r w:rsidRPr="009540FB">
        <w:rPr>
          <w:rFonts w:asciiTheme="majorBidi" w:hAnsiTheme="majorBidi"/>
          <w:rtl/>
        </w:rPr>
        <w:t xml:space="preserve"> כולל הממשל את רשויות המדינה המוקמות מכוח חוק, את השלטון המקומי ואת המפלגות שמקשרות בין הממשל לחברה.</w:t>
      </w: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/>
          <w:rtl/>
        </w:rPr>
      </w:pPr>
      <w:r w:rsidRPr="009540FB">
        <w:rPr>
          <w:rFonts w:asciiTheme="majorBidi" w:hAnsiTheme="majorBidi"/>
          <w:rtl/>
        </w:rPr>
        <w:t>ההחלטות החברתיות מתגבשות למדיניות שתכליתה להביא להגשמת המטרות שהותוו</w:t>
      </w:r>
      <w:r w:rsidRPr="009540FB">
        <w:rPr>
          <w:rFonts w:asciiTheme="majorBidi" w:hAnsiTheme="majorBidi" w:hint="cs"/>
          <w:rtl/>
        </w:rPr>
        <w:t xml:space="preserve"> בהליך הפוליטי</w:t>
      </w:r>
      <w:r w:rsidRPr="009540FB">
        <w:rPr>
          <w:rFonts w:asciiTheme="majorBidi" w:hAnsiTheme="majorBidi"/>
          <w:rtl/>
        </w:rPr>
        <w:t>.</w:t>
      </w: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/>
          <w:rtl/>
        </w:rPr>
      </w:pPr>
      <w:r w:rsidRPr="009540FB">
        <w:rPr>
          <w:rFonts w:asciiTheme="majorBidi" w:hAnsiTheme="majorBidi" w:hint="cs"/>
          <w:rtl/>
        </w:rPr>
        <w:t xml:space="preserve">לימודי ההדגש מכוונים לתלמידים, הבוחנים אפשרות של השתלבות במערכת הציבורית או המפלגתית, לרבות רשויות המדינה, רשויות השלטון המקומי, ארגוני החברה האזרחית והמערכת המפלגתית. </w:t>
      </w: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/>
          <w:rtl/>
        </w:rPr>
      </w:pPr>
      <w:r w:rsidRPr="009540FB">
        <w:rPr>
          <w:rFonts w:asciiTheme="majorBidi" w:hAnsiTheme="majorBidi"/>
          <w:rtl/>
        </w:rPr>
        <w:t>ההדגש המוצע יעניק לתלמידים הבנה מעמיקה</w:t>
      </w:r>
      <w:r w:rsidRPr="009540FB">
        <w:rPr>
          <w:rFonts w:asciiTheme="majorBidi" w:hAnsiTheme="majorBidi"/>
        </w:rPr>
        <w:t xml:space="preserve"> </w:t>
      </w:r>
      <w:r w:rsidRPr="009540FB">
        <w:rPr>
          <w:rFonts w:asciiTheme="majorBidi" w:hAnsiTheme="majorBidi" w:hint="cs"/>
          <w:rtl/>
        </w:rPr>
        <w:t>של התהליכים בהם הופכות החלטות פוליטיות למדיניות לאומית או מקומית.</w:t>
      </w:r>
    </w:p>
    <w:p w:rsidR="00220C05" w:rsidRDefault="00220C05" w:rsidP="00220C05">
      <w:pPr>
        <w:spacing w:line="360" w:lineRule="auto"/>
        <w:jc w:val="both"/>
        <w:rPr>
          <w:rFonts w:asciiTheme="majorBidi" w:hAnsiTheme="majorBidi"/>
          <w:b/>
          <w:bCs/>
          <w:rtl/>
        </w:rPr>
      </w:pP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/>
          <w:b/>
          <w:bCs/>
          <w:rtl/>
        </w:rPr>
      </w:pPr>
      <w:r w:rsidRPr="009540FB">
        <w:rPr>
          <w:rFonts w:asciiTheme="majorBidi" w:hAnsiTheme="majorBidi"/>
          <w:b/>
          <w:bCs/>
          <w:rtl/>
        </w:rPr>
        <w:t xml:space="preserve">תנאי קבלה </w:t>
      </w:r>
    </w:p>
    <w:p w:rsidR="009E22EC" w:rsidRDefault="00220C05" w:rsidP="00220C05">
      <w:pPr>
        <w:spacing w:line="360" w:lineRule="auto"/>
        <w:rPr>
          <w:rFonts w:asciiTheme="majorBidi" w:hAnsiTheme="majorBidi"/>
        </w:rPr>
      </w:pPr>
      <w:r w:rsidRPr="009540FB">
        <w:rPr>
          <w:rFonts w:asciiTheme="majorBidi" w:hAnsiTheme="majorBidi" w:hint="cs"/>
          <w:rtl/>
        </w:rPr>
        <w:t xml:space="preserve">לימודי ההדגש </w:t>
      </w:r>
      <w:r w:rsidRPr="009540FB">
        <w:rPr>
          <w:rFonts w:asciiTheme="majorBidi" w:hAnsiTheme="majorBidi"/>
          <w:rtl/>
        </w:rPr>
        <w:t>פתוח</w:t>
      </w:r>
      <w:r w:rsidRPr="009540FB">
        <w:rPr>
          <w:rFonts w:asciiTheme="majorBidi" w:hAnsiTheme="majorBidi" w:hint="cs"/>
          <w:rtl/>
        </w:rPr>
        <w:t>ים</w:t>
      </w:r>
      <w:r w:rsidRPr="009540FB">
        <w:rPr>
          <w:rFonts w:asciiTheme="majorBidi" w:hAnsiTheme="majorBidi"/>
          <w:rtl/>
        </w:rPr>
        <w:t xml:space="preserve"> לכל תלמידי המחלקה</w:t>
      </w:r>
      <w:r w:rsidRPr="009540FB">
        <w:rPr>
          <w:rFonts w:asciiTheme="majorBidi" w:hAnsiTheme="majorBidi" w:hint="cs"/>
          <w:rtl/>
        </w:rPr>
        <w:t xml:space="preserve"> למדע המדינה שיס</w:t>
      </w:r>
      <w:r>
        <w:rPr>
          <w:rFonts w:asciiTheme="majorBidi" w:hAnsiTheme="majorBidi" w:hint="cs"/>
          <w:rtl/>
        </w:rPr>
        <w:t>י</w:t>
      </w:r>
      <w:r w:rsidRPr="009540FB">
        <w:rPr>
          <w:rFonts w:asciiTheme="majorBidi" w:hAnsiTheme="majorBidi" w:hint="cs"/>
          <w:rtl/>
        </w:rPr>
        <w:t>ימו את לימודי שנה א' לתואר הבוגר בציון ממוצע של 80 ומעלה</w:t>
      </w:r>
      <w:r>
        <w:rPr>
          <w:rFonts w:asciiTheme="majorBidi" w:hAnsiTheme="majorBidi" w:hint="cs"/>
          <w:rtl/>
        </w:rPr>
        <w:t xml:space="preserve">. תלמידים המעוניינים להצטרף להדגש זה יגישו בקשה בתום לימודי שנה א'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עד לתאריך 28.9.2017 למייל:</w:t>
      </w:r>
      <w:r w:rsidR="009E22EC">
        <w:rPr>
          <w:rFonts w:asciiTheme="majorBidi" w:hAnsiTheme="majorBidi" w:hint="cs"/>
          <w:rtl/>
        </w:rPr>
        <w:t xml:space="preserve"> </w:t>
      </w:r>
      <w:hyperlink r:id="rId7" w:history="1">
        <w:r w:rsidR="009E22EC" w:rsidRPr="008A4AE0">
          <w:rPr>
            <w:rStyle w:val="Hyperlink"/>
            <w:rFonts w:asciiTheme="majorBidi" w:hAnsiTheme="majorBidi"/>
          </w:rPr>
          <w:t>political@savion.huji.ac.il</w:t>
        </w:r>
      </w:hyperlink>
    </w:p>
    <w:p w:rsidR="00220C05" w:rsidRPr="003147EA" w:rsidRDefault="009E22EC" w:rsidP="009E22EC">
      <w:pPr>
        <w:spacing w:line="360" w:lineRule="auto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 </w:t>
      </w:r>
    </w:p>
    <w:p w:rsidR="00220C05" w:rsidRDefault="00220C05" w:rsidP="00220C05">
      <w:pPr>
        <w:spacing w:line="360" w:lineRule="auto"/>
        <w:jc w:val="both"/>
        <w:rPr>
          <w:rFonts w:asciiTheme="majorBidi" w:hAnsiTheme="majorBidi"/>
          <w:b/>
          <w:bCs/>
          <w:rtl/>
        </w:rPr>
      </w:pPr>
    </w:p>
    <w:p w:rsidR="00220C05" w:rsidRPr="009540FB" w:rsidRDefault="00220C05" w:rsidP="00220C05">
      <w:pPr>
        <w:spacing w:line="360" w:lineRule="auto"/>
        <w:jc w:val="both"/>
        <w:rPr>
          <w:rFonts w:asciiTheme="majorBidi" w:hAnsiTheme="majorBidi" w:hint="cs"/>
          <w:b/>
          <w:bCs/>
          <w:rtl/>
        </w:rPr>
      </w:pPr>
      <w:r w:rsidRPr="009540FB">
        <w:rPr>
          <w:rFonts w:asciiTheme="majorBidi" w:hAnsiTheme="majorBidi" w:hint="cs"/>
          <w:b/>
          <w:bCs/>
          <w:rtl/>
        </w:rPr>
        <w:t>מבנה לימודי ההדגש</w:t>
      </w:r>
    </w:p>
    <w:p w:rsidR="00220C05" w:rsidRDefault="00220C05" w:rsidP="00220C05">
      <w:pPr>
        <w:spacing w:before="120" w:after="120" w:line="360" w:lineRule="auto"/>
        <w:rPr>
          <w:rFonts w:asciiTheme="majorBidi" w:hAnsiTheme="majorBidi"/>
          <w:rtl/>
        </w:rPr>
      </w:pPr>
      <w:r w:rsidRPr="009540FB">
        <w:rPr>
          <w:rFonts w:asciiTheme="majorBidi" w:hAnsiTheme="majorBidi" w:hint="cs"/>
          <w:rtl/>
        </w:rPr>
        <w:t xml:space="preserve">תלמידי ההדגש יהיו חייבים בלימוד של 16 נ"ז, מתוכם קורס חובה "מדיניות ומנהל ציבורי" (2 נ"ז), לימודי ליבה בהיקף של 4 נ"ז וקורסי בחירה להשלמת מנין 16 נ"ז. אם יבחרו תלמידים לכתוב סמינר מתוך רשימת הסמינרים הכלולים בהדגש הם יהיו חייבים בלימוד 20 נ"ז </w:t>
      </w:r>
      <w:r>
        <w:rPr>
          <w:rFonts w:asciiTheme="majorBidi" w:hAnsiTheme="majorBidi" w:hint="cs"/>
          <w:rtl/>
        </w:rPr>
        <w:t xml:space="preserve">לפחות </w:t>
      </w:r>
      <w:r w:rsidRPr="009540FB">
        <w:rPr>
          <w:rFonts w:asciiTheme="majorBidi" w:hAnsiTheme="majorBidi" w:hint="cs"/>
          <w:rtl/>
        </w:rPr>
        <w:t xml:space="preserve">(בכללם 4 נ"ז בעבור כתיבת עבודת הסמינר). </w:t>
      </w:r>
    </w:p>
    <w:p w:rsidR="00220C05" w:rsidRPr="00BF10A2" w:rsidRDefault="00220C05" w:rsidP="00220C05">
      <w:pPr>
        <w:spacing w:before="120" w:after="120" w:line="360" w:lineRule="auto"/>
        <w:rPr>
          <w:rFonts w:asciiTheme="majorBidi" w:hAnsiTheme="majorBidi"/>
          <w:rtl/>
        </w:rPr>
      </w:pPr>
      <w:r w:rsidRPr="00BF10A2">
        <w:rPr>
          <w:rFonts w:asciiTheme="majorBidi" w:hAnsiTheme="majorBidi"/>
          <w:rtl/>
        </w:rPr>
        <w:t xml:space="preserve">בסיום הלימודים הסטודנטים יהיו זכאים לתואר ראשון במדע המדינה </w:t>
      </w:r>
      <w:r>
        <w:rPr>
          <w:rFonts w:asciiTheme="majorBidi" w:hAnsiTheme="majorBidi" w:hint="cs"/>
          <w:rtl/>
        </w:rPr>
        <w:t>בציון הערה</w:t>
      </w:r>
      <w:r w:rsidRPr="00BF10A2">
        <w:rPr>
          <w:rFonts w:asciiTheme="majorBidi" w:hAnsiTheme="majorBidi"/>
          <w:rtl/>
        </w:rPr>
        <w:t xml:space="preserve"> בגיליון הציונים</w:t>
      </w:r>
      <w:r>
        <w:rPr>
          <w:rFonts w:asciiTheme="majorBidi" w:hAnsiTheme="majorBidi" w:hint="cs"/>
          <w:rtl/>
        </w:rPr>
        <w:t xml:space="preserve"> בדבר השלמת</w:t>
      </w:r>
      <w:r w:rsidRPr="00BF10A2">
        <w:rPr>
          <w:rFonts w:asciiTheme="majorBidi" w:hAnsiTheme="majorBidi"/>
          <w:rtl/>
        </w:rPr>
        <w:t xml:space="preserve"> לימודי הדגש </w:t>
      </w:r>
      <w:r>
        <w:rPr>
          <w:rFonts w:asciiTheme="majorBidi" w:hAnsiTheme="majorBidi" w:hint="cs"/>
          <w:rtl/>
        </w:rPr>
        <w:t>במדיניות ובממשל</w:t>
      </w:r>
      <w:r w:rsidRPr="00BF10A2">
        <w:rPr>
          <w:rFonts w:asciiTheme="majorBidi" w:hAnsiTheme="majorBidi"/>
          <w:rtl/>
        </w:rPr>
        <w:t xml:space="preserve">. </w:t>
      </w:r>
    </w:p>
    <w:p w:rsidR="00220C05" w:rsidRDefault="00220C05" w:rsidP="00220C05">
      <w:pPr>
        <w:spacing w:after="120" w:line="360" w:lineRule="auto"/>
        <w:rPr>
          <w:rFonts w:asciiTheme="majorBidi" w:hAnsiTheme="majorBidi"/>
          <w:rtl/>
        </w:rPr>
      </w:pPr>
      <w:r w:rsidRPr="009540FB">
        <w:rPr>
          <w:rFonts w:asciiTheme="majorBidi" w:hAnsiTheme="majorBidi"/>
          <w:rtl/>
        </w:rPr>
        <w:t>היצע הקורסים עשוי להשתנות מדי שנה בהתאם לזמינות</w:t>
      </w:r>
      <w:r w:rsidRPr="009540FB">
        <w:rPr>
          <w:rFonts w:asciiTheme="majorBidi" w:hAnsiTheme="majorBidi" w:hint="cs"/>
          <w:rtl/>
        </w:rPr>
        <w:t xml:space="preserve"> הקורס</w:t>
      </w:r>
      <w:r w:rsidRPr="009540FB">
        <w:rPr>
          <w:rFonts w:asciiTheme="majorBidi" w:hAnsiTheme="majorBidi"/>
          <w:rtl/>
        </w:rPr>
        <w:t xml:space="preserve"> ושיקול הדעת של סגל</w:t>
      </w:r>
      <w:r w:rsidRPr="009540FB">
        <w:rPr>
          <w:rFonts w:asciiTheme="majorBidi" w:hAnsiTheme="majorBidi" w:hint="cs"/>
          <w:rtl/>
        </w:rPr>
        <w:t xml:space="preserve"> המחלקה</w:t>
      </w:r>
      <w:r>
        <w:rPr>
          <w:rFonts w:asciiTheme="majorBidi" w:hAnsiTheme="majorBidi" w:hint="cs"/>
          <w:rtl/>
        </w:rPr>
        <w:t xml:space="preserve"> ויפורט בשנתון ובאתר הרישום.</w:t>
      </w:r>
    </w:p>
    <w:p w:rsidR="00902C75" w:rsidRDefault="00902C75" w:rsidP="00220C05">
      <w:pPr>
        <w:spacing w:after="120" w:line="360" w:lineRule="auto"/>
        <w:rPr>
          <w:rFonts w:asciiTheme="majorBidi" w:hAnsiTheme="majorBidi"/>
          <w:rtl/>
        </w:rPr>
      </w:pPr>
    </w:p>
    <w:p w:rsidR="00902C75" w:rsidRPr="009540FB" w:rsidRDefault="00902C75" w:rsidP="00220C05">
      <w:pPr>
        <w:spacing w:after="120" w:line="360" w:lineRule="auto"/>
        <w:rPr>
          <w:rFonts w:asciiTheme="majorBidi" w:hAnsiTheme="majorBidi"/>
        </w:rPr>
      </w:pPr>
    </w:p>
    <w:p w:rsidR="00220C05" w:rsidRPr="00BF10A2" w:rsidRDefault="00220C05" w:rsidP="00220C05">
      <w:pPr>
        <w:spacing w:before="120" w:after="120"/>
        <w:rPr>
          <w:rFonts w:asciiTheme="majorBidi" w:hAnsiTheme="majorBidi"/>
          <w:b/>
          <w:bCs/>
          <w:rtl/>
        </w:rPr>
      </w:pPr>
      <w:r>
        <w:rPr>
          <w:rFonts w:asciiTheme="majorBidi" w:hAnsiTheme="majorBidi"/>
          <w:b/>
          <w:bCs/>
          <w:rtl/>
        </w:rPr>
        <w:lastRenderedPageBreak/>
        <w:t xml:space="preserve">סיכום </w:t>
      </w:r>
      <w:r>
        <w:rPr>
          <w:rFonts w:asciiTheme="majorBidi" w:hAnsiTheme="majorBidi" w:hint="cs"/>
          <w:b/>
          <w:bCs/>
          <w:rtl/>
        </w:rPr>
        <w:t>לימודי מדע המדינה בהדגש בפוליטיקה ובממשל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081"/>
        <w:gridCol w:w="3081"/>
      </w:tblGrid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קורס חובה להדגש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2 נ"ז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קורסי חובה כלליים</w:t>
            </w:r>
            <w:r>
              <w:rPr>
                <w:rStyle w:val="a5"/>
                <w:rFonts w:asciiTheme="majorBidi" w:hAnsiTheme="majorBidi"/>
                <w:rtl/>
              </w:rPr>
              <w:footnoteReference w:id="1"/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28</w:t>
            </w:r>
            <w:r w:rsidRPr="00BF10A2">
              <w:rPr>
                <w:rFonts w:asciiTheme="majorBidi" w:hAnsiTheme="majorBidi"/>
                <w:rtl/>
              </w:rPr>
              <w:t xml:space="preserve"> נ"ז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 xml:space="preserve">שיעורי ליבה </w:t>
            </w:r>
            <w:r w:rsidRPr="00BF10A2">
              <w:rPr>
                <w:rFonts w:asciiTheme="majorBidi" w:hAnsiTheme="majorBidi" w:hint="cs"/>
                <w:rtl/>
              </w:rPr>
              <w:t>ב</w:t>
            </w:r>
            <w:r w:rsidRPr="00BF10A2">
              <w:rPr>
                <w:rFonts w:asciiTheme="majorBidi" w:hAnsiTheme="majorBidi"/>
                <w:rtl/>
              </w:rPr>
              <w:t>הדגש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4 נ"ז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קורסי ליבה בתואר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2-6 נ"ז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שיעורי בחירה</w:t>
            </w:r>
            <w:r>
              <w:rPr>
                <w:rFonts w:asciiTheme="majorBidi" w:hAnsiTheme="majorBidi" w:hint="cs"/>
                <w:rtl/>
              </w:rPr>
              <w:t xml:space="preserve"> בהדגש</w:t>
            </w:r>
            <w:r>
              <w:rPr>
                <w:rStyle w:val="a5"/>
                <w:rFonts w:asciiTheme="majorBidi" w:hAnsiTheme="majorBidi"/>
                <w:rtl/>
              </w:rPr>
              <w:footnoteReference w:id="2"/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8-12 נ"ז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סמינר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Theme="majorBidi" w:hAnsiTheme="majorBidi"/>
                <w:rtl/>
              </w:rPr>
              <w:t>–</w:t>
            </w:r>
            <w:r>
              <w:rPr>
                <w:rFonts w:asciiTheme="majorBidi" w:hAnsiTheme="majorBidi" w:hint="cs"/>
                <w:rtl/>
              </w:rPr>
              <w:t xml:space="preserve"> אופציונלי בהדגש זה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 xml:space="preserve">8 נ"ז 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שיעורי אבני פינה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 xml:space="preserve">4 נ"ז </w:t>
            </w:r>
          </w:p>
        </w:tc>
      </w:tr>
      <w:tr w:rsidR="00220C05" w:rsidRPr="00BF10A2" w:rsidTr="00190B6F"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סה"כ</w:t>
            </w:r>
          </w:p>
        </w:tc>
        <w:tc>
          <w:tcPr>
            <w:tcW w:w="3081" w:type="dxa"/>
          </w:tcPr>
          <w:p w:rsidR="00220C05" w:rsidRPr="00BF10A2" w:rsidRDefault="00220C05" w:rsidP="00190B6F">
            <w:pPr>
              <w:rPr>
                <w:rFonts w:asciiTheme="majorBidi" w:hAnsiTheme="majorBidi"/>
                <w:rtl/>
              </w:rPr>
            </w:pPr>
            <w:r w:rsidRPr="00BF10A2">
              <w:rPr>
                <w:rFonts w:asciiTheme="majorBidi" w:hAnsiTheme="majorBidi"/>
                <w:rtl/>
              </w:rPr>
              <w:t>60 נ"ז</w:t>
            </w:r>
          </w:p>
        </w:tc>
      </w:tr>
    </w:tbl>
    <w:p w:rsidR="00220C05" w:rsidRPr="003147EA" w:rsidRDefault="00220C05" w:rsidP="00220C05">
      <w:pPr>
        <w:spacing w:line="360" w:lineRule="auto"/>
        <w:jc w:val="both"/>
        <w:rPr>
          <w:rFonts w:asciiTheme="majorBidi" w:hAnsiTheme="majorBidi"/>
          <w:rtl/>
        </w:rPr>
      </w:pPr>
    </w:p>
    <w:p w:rsidR="00220C05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</w:p>
    <w:p w:rsidR="00220C05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</w:p>
    <w:p w:rsidR="00220C05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</w:p>
    <w:p w:rsidR="00220C05" w:rsidRDefault="00220C05" w:rsidP="00220C05">
      <w:pPr>
        <w:spacing w:line="360" w:lineRule="auto"/>
        <w:rPr>
          <w:rFonts w:asciiTheme="majorBidi" w:hAnsiTheme="majorBidi"/>
          <w:b/>
          <w:bCs/>
          <w:rtl/>
        </w:rPr>
      </w:pPr>
    </w:p>
    <w:p w:rsidR="00D07553" w:rsidRPr="00220C05" w:rsidRDefault="00D07553" w:rsidP="00220C05">
      <w:pPr>
        <w:bidi w:val="0"/>
        <w:rPr>
          <w:b/>
          <w:bCs/>
          <w:noProof w:val="0"/>
        </w:rPr>
      </w:pPr>
    </w:p>
    <w:sectPr w:rsidR="00D07553" w:rsidRPr="00220C05" w:rsidSect="002630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30" w:rsidRDefault="00E24630" w:rsidP="00220C05">
      <w:r>
        <w:separator/>
      </w:r>
    </w:p>
  </w:endnote>
  <w:endnote w:type="continuationSeparator" w:id="0">
    <w:p w:rsidR="00E24630" w:rsidRDefault="00E24630" w:rsidP="002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30" w:rsidRDefault="00E24630" w:rsidP="00220C05">
      <w:r>
        <w:separator/>
      </w:r>
    </w:p>
  </w:footnote>
  <w:footnote w:type="continuationSeparator" w:id="0">
    <w:p w:rsidR="00E24630" w:rsidRDefault="00E24630" w:rsidP="00220C05">
      <w:r>
        <w:continuationSeparator/>
      </w:r>
    </w:p>
  </w:footnote>
  <w:footnote w:id="1">
    <w:p w:rsidR="00220C05" w:rsidRDefault="00220C05" w:rsidP="00220C05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  <w:lang w:bidi="he-IL"/>
        </w:rPr>
        <w:t>תלמידי ההדגש עשויים להיות פטורים מקורסי שיטות מחקר וסטטיסטיקה וכתיבה מדעית אם הקורסים נלמדים בחוגם השני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he-IL"/>
        </w:rPr>
        <w:t>תלמידים שיהיו פטורים מקורסים אלו ישלימו את נקודות הזכות החסרות מבין קורסי הבחירה והליבה של המחלקה למדע המדינה</w:t>
      </w:r>
      <w:r>
        <w:rPr>
          <w:rFonts w:hint="cs"/>
          <w:rtl/>
        </w:rPr>
        <w:t>.</w:t>
      </w:r>
    </w:p>
    <w:p w:rsidR="00220C05" w:rsidRPr="00DC0018" w:rsidRDefault="00220C05" w:rsidP="00220C05">
      <w:pPr>
        <w:pStyle w:val="a3"/>
        <w:bidi/>
        <w:rPr>
          <w:rtl/>
        </w:rPr>
      </w:pPr>
    </w:p>
  </w:footnote>
  <w:footnote w:id="2">
    <w:p w:rsidR="00220C05" w:rsidRDefault="00220C05" w:rsidP="00220C05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  <w:lang w:bidi="he-IL"/>
        </w:rPr>
        <w:t>תלמידי ההדגש יהיו רשאים לקחת כל קורס מתוך היצע קורסי הליבה של המחלקה ואלו יכללו במניין נקודות הבחירה להשלמת תואר בוגר במדע המדינה</w:t>
      </w:r>
      <w:r>
        <w:rPr>
          <w:rFonts w:hint="cs"/>
          <w:rtl/>
        </w:rPr>
        <w:t>.</w:t>
      </w:r>
    </w:p>
    <w:p w:rsidR="00220C05" w:rsidRPr="00DC0018" w:rsidRDefault="00220C05" w:rsidP="00220C05">
      <w:pPr>
        <w:pStyle w:val="a3"/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5"/>
    <w:rsid w:val="001C2506"/>
    <w:rsid w:val="00220C05"/>
    <w:rsid w:val="00263085"/>
    <w:rsid w:val="008346C4"/>
    <w:rsid w:val="00902C75"/>
    <w:rsid w:val="009E22EC"/>
    <w:rsid w:val="00D07553"/>
    <w:rsid w:val="00D30211"/>
    <w:rsid w:val="00E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5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0C05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a4">
    <w:name w:val="טקסט הערת שוליים תו"/>
    <w:basedOn w:val="a0"/>
    <w:link w:val="a3"/>
    <w:uiPriority w:val="99"/>
    <w:rsid w:val="00220C0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5">
    <w:name w:val="footnote reference"/>
    <w:basedOn w:val="a0"/>
    <w:uiPriority w:val="99"/>
    <w:unhideWhenUsed/>
    <w:rsid w:val="00220C05"/>
    <w:rPr>
      <w:vertAlign w:val="superscript"/>
    </w:rPr>
  </w:style>
  <w:style w:type="table" w:styleId="a6">
    <w:name w:val="Table Grid"/>
    <w:basedOn w:val="a1"/>
    <w:uiPriority w:val="59"/>
    <w:rsid w:val="00220C0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E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5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0C05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a4">
    <w:name w:val="טקסט הערת שוליים תו"/>
    <w:basedOn w:val="a0"/>
    <w:link w:val="a3"/>
    <w:uiPriority w:val="99"/>
    <w:rsid w:val="00220C0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5">
    <w:name w:val="footnote reference"/>
    <w:basedOn w:val="a0"/>
    <w:uiPriority w:val="99"/>
    <w:unhideWhenUsed/>
    <w:rsid w:val="00220C05"/>
    <w:rPr>
      <w:vertAlign w:val="superscript"/>
    </w:rPr>
  </w:style>
  <w:style w:type="table" w:styleId="a6">
    <w:name w:val="Table Grid"/>
    <w:basedOn w:val="a1"/>
    <w:uiPriority w:val="59"/>
    <w:rsid w:val="00220C0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E2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ical@savion.huji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Galitam</dc:creator>
  <cp:lastModifiedBy>Galitam</cp:lastModifiedBy>
  <cp:revision>4</cp:revision>
  <dcterms:created xsi:type="dcterms:W3CDTF">2017-07-10T08:12:00Z</dcterms:created>
  <dcterms:modified xsi:type="dcterms:W3CDTF">2017-07-19T08:45:00Z</dcterms:modified>
</cp:coreProperties>
</file>